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EB4" w:rsidRPr="0071153A" w:rsidRDefault="00047EB4" w:rsidP="00047EB4">
      <w:bookmarkStart w:id="0" w:name="_GoBack"/>
      <w:bookmarkEnd w:id="0"/>
    </w:p>
    <w:tbl>
      <w:tblPr>
        <w:tblW w:w="10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7938"/>
        <w:gridCol w:w="1166"/>
      </w:tblGrid>
      <w:tr w:rsidR="00047EB4" w:rsidTr="00B13114">
        <w:tc>
          <w:tcPr>
            <w:tcW w:w="1809" w:type="dxa"/>
          </w:tcPr>
          <w:p w:rsidR="00047EB4" w:rsidRPr="00B04F51" w:rsidRDefault="00047EB4" w:rsidP="00B13114">
            <w:pPr>
              <w:spacing w:after="0" w:line="240" w:lineRule="auto"/>
              <w:jc w:val="center"/>
              <w:rPr>
                <w:rFonts w:ascii="Comic Sans MS" w:hAnsi="Comic Sans MS" w:cs="Times New Roman"/>
                <w:b/>
                <w:color w:val="FF0000"/>
                <w:sz w:val="20"/>
                <w:szCs w:val="20"/>
              </w:rPr>
            </w:pPr>
            <w:r w:rsidRPr="00B04F51">
              <w:rPr>
                <w:rFonts w:ascii="Comic Sans MS" w:hAnsi="Comic Sans MS" w:cs="Times New Roman"/>
                <w:b/>
                <w:color w:val="FF0000"/>
                <w:sz w:val="20"/>
                <w:szCs w:val="20"/>
              </w:rPr>
              <w:t>Situation</w:t>
            </w:r>
          </w:p>
          <w:p w:rsidR="00047EB4" w:rsidRPr="00B04F51" w:rsidRDefault="00047EB4" w:rsidP="00B13114">
            <w:pPr>
              <w:spacing w:after="0" w:line="240" w:lineRule="auto"/>
              <w:jc w:val="center"/>
              <w:rPr>
                <w:rFonts w:ascii="Comic Sans MS" w:hAnsi="Comic Sans MS" w:cs="Times New Roman"/>
                <w:b/>
                <w:sz w:val="20"/>
                <w:szCs w:val="20"/>
              </w:rPr>
            </w:pPr>
          </w:p>
        </w:tc>
        <w:tc>
          <w:tcPr>
            <w:tcW w:w="7938" w:type="dxa"/>
          </w:tcPr>
          <w:p w:rsidR="00047EB4" w:rsidRPr="00B04F51" w:rsidRDefault="00047EB4" w:rsidP="00B13114">
            <w:pPr>
              <w:spacing w:after="0" w:line="240" w:lineRule="auto"/>
              <w:jc w:val="center"/>
              <w:rPr>
                <w:rFonts w:ascii="Comic Sans MS" w:hAnsi="Comic Sans MS" w:cs="Times New Roman"/>
                <w:b/>
                <w:color w:val="FF0000"/>
                <w:sz w:val="20"/>
                <w:szCs w:val="20"/>
              </w:rPr>
            </w:pPr>
            <w:r>
              <w:rPr>
                <w:rFonts w:ascii="Comic Sans MS" w:hAnsi="Comic Sans MS" w:cs="Times New Roman"/>
                <w:b/>
                <w:color w:val="FF0000"/>
                <w:sz w:val="20"/>
                <w:szCs w:val="20"/>
              </w:rPr>
              <w:t>Fiche METHODES</w:t>
            </w:r>
          </w:p>
          <w:p w:rsidR="00047EB4" w:rsidRPr="0071153A" w:rsidRDefault="00047EB4" w:rsidP="00B13114">
            <w:pPr>
              <w:spacing w:after="0" w:line="240" w:lineRule="auto"/>
              <w:jc w:val="center"/>
              <w:rPr>
                <w:rFonts w:ascii="Comic Sans MS" w:hAnsi="Comic Sans MS"/>
                <w:b/>
                <w:color w:val="FF0000"/>
                <w:sz w:val="20"/>
                <w:szCs w:val="20"/>
              </w:rPr>
            </w:pPr>
            <w:r w:rsidRPr="0071153A">
              <w:rPr>
                <w:rFonts w:ascii="Comic Sans MS" w:hAnsi="Comic Sans MS"/>
                <w:b/>
                <w:color w:val="FF0000"/>
                <w:sz w:val="20"/>
                <w:szCs w:val="20"/>
              </w:rPr>
              <w:t>La traçabilité en stérilisation tout au long du processus</w:t>
            </w:r>
          </w:p>
        </w:tc>
        <w:tc>
          <w:tcPr>
            <w:tcW w:w="1166" w:type="dxa"/>
            <w:vAlign w:val="center"/>
          </w:tcPr>
          <w:p w:rsidR="00047EB4" w:rsidRPr="00B04F51" w:rsidRDefault="00047EB4" w:rsidP="00B13114">
            <w:pPr>
              <w:spacing w:after="0" w:line="240" w:lineRule="auto"/>
              <w:jc w:val="center"/>
              <w:rPr>
                <w:rFonts w:ascii="Comic Sans MS" w:hAnsi="Comic Sans MS" w:cs="Times New Roman"/>
                <w:b/>
                <w:sz w:val="20"/>
                <w:szCs w:val="20"/>
              </w:rPr>
            </w:pPr>
            <w:r w:rsidRPr="00B04F51">
              <w:rPr>
                <w:rFonts w:ascii="Comic Sans MS" w:hAnsi="Comic Sans MS" w:cs="Times New Roman"/>
                <w:b/>
                <w:sz w:val="20"/>
                <w:szCs w:val="20"/>
              </w:rPr>
              <w:t>n°</w:t>
            </w:r>
          </w:p>
        </w:tc>
      </w:tr>
    </w:tbl>
    <w:p w:rsidR="00047EB4" w:rsidRPr="0071153A" w:rsidRDefault="00047EB4" w:rsidP="00047EB4">
      <w:pPr>
        <w:spacing w:after="0" w:line="240" w:lineRule="auto"/>
        <w:rPr>
          <w:rFonts w:ascii="Times New Roman" w:hAnsi="Times New Roman" w:cs="Times New Roman"/>
          <w:b/>
          <w:i/>
          <w:sz w:val="12"/>
          <w:szCs w:val="12"/>
        </w:rPr>
      </w:pPr>
    </w:p>
    <w:p w:rsidR="00047EB4" w:rsidRPr="0071153A" w:rsidRDefault="00047EB4" w:rsidP="00047EB4">
      <w:pPr>
        <w:spacing w:after="0" w:line="240" w:lineRule="auto"/>
        <w:rPr>
          <w:rFonts w:asciiTheme="minorHAnsi" w:hAnsiTheme="minorHAnsi" w:cs="Times New Roman"/>
          <w:sz w:val="18"/>
          <w:szCs w:val="18"/>
        </w:rPr>
      </w:pPr>
      <w:r w:rsidRPr="0071153A">
        <w:rPr>
          <w:rFonts w:asciiTheme="minorHAnsi" w:hAnsiTheme="minorHAnsi" w:cs="Times New Roman"/>
          <w:sz w:val="18"/>
          <w:szCs w:val="18"/>
        </w:rPr>
        <w:t>Elle permet de suivre le DM tout au long du processus et elle permet de constituer le dossier de stérilisation concernant chaque set de soins.</w:t>
      </w:r>
    </w:p>
    <w:p w:rsidR="00047EB4" w:rsidRPr="0071153A" w:rsidRDefault="00047EB4" w:rsidP="00047EB4">
      <w:pPr>
        <w:spacing w:after="0" w:line="240" w:lineRule="auto"/>
        <w:rPr>
          <w:rFonts w:asciiTheme="minorHAnsi" w:hAnsiTheme="minorHAnsi" w:cs="Times New Roman"/>
          <w:sz w:val="18"/>
          <w:szCs w:val="18"/>
        </w:rPr>
      </w:pPr>
      <w:r w:rsidRPr="0071153A">
        <w:rPr>
          <w:rFonts w:asciiTheme="minorHAnsi" w:hAnsiTheme="minorHAnsi" w:cs="Times New Roman"/>
          <w:sz w:val="18"/>
          <w:szCs w:val="18"/>
        </w:rPr>
        <w:t>Ainsi, chaque bloc opératoire retrouve SON DM.</w:t>
      </w:r>
    </w:p>
    <w:p w:rsidR="00047EB4" w:rsidRPr="0071153A" w:rsidRDefault="00047EB4" w:rsidP="00047EB4">
      <w:pPr>
        <w:spacing w:after="120" w:line="240" w:lineRule="auto"/>
        <w:rPr>
          <w:rFonts w:asciiTheme="minorHAnsi" w:hAnsiTheme="minorHAnsi" w:cs="Times New Roman"/>
          <w:sz w:val="10"/>
          <w:szCs w:val="10"/>
        </w:rPr>
      </w:pPr>
      <w:r w:rsidRPr="0071153A">
        <w:rPr>
          <w:rFonts w:asciiTheme="minorHAnsi" w:hAnsiTheme="minorHAnsi" w:cs="Times New Roman"/>
          <w:sz w:val="18"/>
          <w:szCs w:val="18"/>
        </w:rPr>
        <w:t>Ainsi, on peut se renseigner sur chaque étape du processus de stérilisation d’un set de soins donné et on peut s’assurer que les procédés et contrôles ont été menés à chacune des étapes.</w:t>
      </w:r>
    </w:p>
    <w:p w:rsidR="00047EB4" w:rsidRPr="0071153A" w:rsidRDefault="00047EB4" w:rsidP="00047EB4">
      <w:pPr>
        <w:pStyle w:val="Paragraphedeliste"/>
        <w:numPr>
          <w:ilvl w:val="0"/>
          <w:numId w:val="1"/>
        </w:numPr>
        <w:spacing w:after="0" w:line="240" w:lineRule="auto"/>
        <w:rPr>
          <w:rFonts w:asciiTheme="minorHAnsi" w:hAnsiTheme="minorHAnsi" w:cs="Times New Roman"/>
          <w:b/>
          <w:color w:val="FF0000"/>
          <w:sz w:val="18"/>
          <w:szCs w:val="18"/>
          <w:u w:val="single"/>
        </w:rPr>
      </w:pPr>
      <w:r w:rsidRPr="0071153A">
        <w:rPr>
          <w:rFonts w:asciiTheme="minorHAnsi" w:hAnsiTheme="minorHAnsi" w:cs="Times New Roman"/>
          <w:b/>
          <w:color w:val="FF0000"/>
          <w:sz w:val="18"/>
          <w:szCs w:val="18"/>
          <w:u w:val="single"/>
        </w:rPr>
        <w:t>Les actes qui permettent de suivre les DM :</w:t>
      </w:r>
    </w:p>
    <w:p w:rsidR="00047EB4" w:rsidRPr="0071153A" w:rsidRDefault="00047EB4" w:rsidP="00047EB4">
      <w:pPr>
        <w:pStyle w:val="Paragraphedeliste"/>
        <w:spacing w:after="0" w:line="240" w:lineRule="auto"/>
        <w:ind w:left="0"/>
        <w:rPr>
          <w:rFonts w:asciiTheme="minorHAnsi" w:hAnsiTheme="minorHAnsi" w:cs="Times New Roman"/>
          <w:sz w:val="18"/>
          <w:szCs w:val="18"/>
        </w:rPr>
      </w:pPr>
      <w:r w:rsidRPr="0071153A">
        <w:rPr>
          <w:rFonts w:asciiTheme="minorHAnsi" w:hAnsiTheme="minorHAnsi" w:cs="Times New Roman"/>
          <w:sz w:val="18"/>
          <w:szCs w:val="18"/>
        </w:rPr>
        <w:t>Ils consistent à identifier les différents paniers et les différents matériels dans lesquels passent les DM</w:t>
      </w:r>
    </w:p>
    <w:p w:rsidR="00047EB4" w:rsidRPr="0071153A" w:rsidRDefault="00047EB4" w:rsidP="00047EB4">
      <w:pPr>
        <w:pStyle w:val="Paragraphedeliste"/>
        <w:spacing w:after="0" w:line="240" w:lineRule="auto"/>
        <w:ind w:left="0"/>
        <w:rPr>
          <w:rFonts w:asciiTheme="minorHAnsi" w:hAnsiTheme="minorHAnsi" w:cs="Times New Roman"/>
          <w:sz w:val="18"/>
          <w:szCs w:val="18"/>
        </w:rPr>
      </w:pPr>
      <w:r w:rsidRPr="0071153A">
        <w:rPr>
          <w:rFonts w:asciiTheme="minorHAnsi" w:hAnsiTheme="minorHAnsi" w:cs="Times New Roman"/>
          <w:sz w:val="18"/>
          <w:szCs w:val="18"/>
        </w:rPr>
        <w:t>L’attribution de code barre sur les différents paniers et pour les différentes procédures permet d’identifier le chemin parcouru par chaque DM.</w:t>
      </w:r>
    </w:p>
    <w:p w:rsidR="00047EB4" w:rsidRPr="0071153A" w:rsidRDefault="00047EB4" w:rsidP="00047EB4">
      <w:pPr>
        <w:pStyle w:val="Paragraphedeliste"/>
        <w:spacing w:after="120" w:line="240" w:lineRule="auto"/>
        <w:ind w:left="0"/>
        <w:rPr>
          <w:rFonts w:asciiTheme="minorHAnsi" w:hAnsiTheme="minorHAnsi" w:cs="Times New Roman"/>
          <w:b/>
          <w:color w:val="FF0000"/>
          <w:sz w:val="10"/>
          <w:szCs w:val="10"/>
        </w:rPr>
      </w:pPr>
      <w:r w:rsidRPr="0071153A">
        <w:rPr>
          <w:rFonts w:asciiTheme="minorHAnsi" w:hAnsiTheme="minorHAnsi" w:cs="Times New Roman"/>
          <w:sz w:val="18"/>
          <w:szCs w:val="18"/>
        </w:rPr>
        <w:t>Les logiciels permettent de retrouver le contenu des paniers à chaque étape du procédé</w:t>
      </w:r>
    </w:p>
    <w:p w:rsidR="00047EB4" w:rsidRPr="0071153A" w:rsidRDefault="00047EB4" w:rsidP="00047EB4">
      <w:pPr>
        <w:pStyle w:val="Paragraphedeliste"/>
        <w:numPr>
          <w:ilvl w:val="0"/>
          <w:numId w:val="1"/>
        </w:numPr>
        <w:spacing w:after="0" w:line="240" w:lineRule="auto"/>
        <w:rPr>
          <w:rFonts w:asciiTheme="minorHAnsi" w:hAnsiTheme="minorHAnsi" w:cs="Times New Roman"/>
          <w:b/>
          <w:color w:val="FF0000"/>
          <w:sz w:val="18"/>
          <w:szCs w:val="18"/>
          <w:u w:val="single"/>
        </w:rPr>
      </w:pPr>
      <w:r w:rsidRPr="0071153A">
        <w:rPr>
          <w:rFonts w:asciiTheme="minorHAnsi" w:hAnsiTheme="minorHAnsi" w:cs="Times New Roman"/>
          <w:b/>
          <w:color w:val="FF0000"/>
          <w:sz w:val="18"/>
          <w:szCs w:val="18"/>
          <w:u w:val="single"/>
        </w:rPr>
        <w:t>La traçabilité qui permet de constituer le dossier de soin.</w:t>
      </w:r>
    </w:p>
    <w:p w:rsidR="00047EB4" w:rsidRPr="0071153A" w:rsidRDefault="00047EB4" w:rsidP="00047EB4">
      <w:pPr>
        <w:pStyle w:val="Paragraphedeliste"/>
        <w:tabs>
          <w:tab w:val="left" w:pos="0"/>
        </w:tabs>
        <w:spacing w:after="0" w:line="240" w:lineRule="auto"/>
        <w:ind w:left="0"/>
        <w:rPr>
          <w:rFonts w:asciiTheme="minorHAnsi" w:hAnsiTheme="minorHAnsi" w:cs="Times New Roman"/>
          <w:sz w:val="18"/>
          <w:szCs w:val="18"/>
        </w:rPr>
      </w:pPr>
      <w:r w:rsidRPr="0071153A">
        <w:rPr>
          <w:rFonts w:asciiTheme="minorHAnsi" w:hAnsiTheme="minorHAnsi" w:cs="Times New Roman"/>
          <w:sz w:val="18"/>
          <w:szCs w:val="18"/>
        </w:rPr>
        <w:t>Elle permet d’enregistrer les opérations de lavage-désinfection, de recomposition des plateaux, de stérilisa</w:t>
      </w:r>
      <w:r>
        <w:rPr>
          <w:rFonts w:asciiTheme="minorHAnsi" w:hAnsiTheme="minorHAnsi" w:cs="Times New Roman"/>
          <w:sz w:val="18"/>
          <w:szCs w:val="18"/>
        </w:rPr>
        <w:t>tion et de libération de charge ou de situer une non-conformité du lot et mettre en place des procédures adaptées.</w:t>
      </w:r>
    </w:p>
    <w:p w:rsidR="00047EB4" w:rsidRPr="0071153A" w:rsidRDefault="00047EB4" w:rsidP="00047EB4">
      <w:pPr>
        <w:pStyle w:val="Paragraphedeliste"/>
        <w:tabs>
          <w:tab w:val="left" w:pos="0"/>
        </w:tabs>
        <w:spacing w:after="120" w:line="240" w:lineRule="auto"/>
        <w:ind w:left="0"/>
        <w:rPr>
          <w:rFonts w:asciiTheme="minorHAnsi" w:hAnsiTheme="minorHAnsi" w:cs="Times New Roman"/>
          <w:b/>
          <w:i/>
          <w:sz w:val="10"/>
          <w:szCs w:val="10"/>
        </w:rPr>
      </w:pPr>
      <w:r w:rsidRPr="0071153A">
        <w:rPr>
          <w:rFonts w:asciiTheme="minorHAnsi" w:hAnsiTheme="minorHAnsi" w:cs="Times New Roman"/>
          <w:sz w:val="18"/>
          <w:szCs w:val="18"/>
        </w:rPr>
        <w:t>Les contrôles de chacune de ces étapes sont aussi enregistrés (validation du cycle de lavage, validation du cycle de stérilisation,  test intégrateurs, test de contrôle qualité du stérilisateur, contrôle visuel d’intégrité des emballages…)</w:t>
      </w:r>
    </w:p>
    <w:p w:rsidR="00047EB4" w:rsidRPr="0071153A" w:rsidRDefault="00047EB4" w:rsidP="00047EB4">
      <w:pPr>
        <w:pStyle w:val="Paragraphedeliste"/>
        <w:numPr>
          <w:ilvl w:val="0"/>
          <w:numId w:val="1"/>
        </w:numPr>
        <w:spacing w:after="0" w:line="240" w:lineRule="auto"/>
        <w:rPr>
          <w:rFonts w:asciiTheme="minorHAnsi" w:hAnsiTheme="minorHAnsi" w:cs="Times New Roman"/>
          <w:b/>
          <w:bCs/>
          <w:color w:val="FF0000"/>
          <w:sz w:val="18"/>
          <w:szCs w:val="18"/>
          <w:u w:val="single"/>
        </w:rPr>
      </w:pPr>
      <w:r w:rsidRPr="0071153A">
        <w:rPr>
          <w:rFonts w:asciiTheme="minorHAnsi" w:hAnsiTheme="minorHAnsi" w:cs="Times New Roman"/>
          <w:b/>
          <w:bCs/>
          <w:color w:val="FF0000"/>
          <w:sz w:val="18"/>
          <w:szCs w:val="18"/>
          <w:u w:val="single"/>
        </w:rPr>
        <w:t>Les activités de traçabilité tout au long du processus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8"/>
        <w:gridCol w:w="10043"/>
      </w:tblGrid>
      <w:tr w:rsidR="00047EB4" w:rsidRPr="0071153A" w:rsidTr="00910A4F">
        <w:trPr>
          <w:cantSplit/>
          <w:trHeight w:val="210"/>
        </w:trPr>
        <w:tc>
          <w:tcPr>
            <w:tcW w:w="838" w:type="dxa"/>
          </w:tcPr>
          <w:p w:rsidR="00047EB4" w:rsidRPr="0071153A" w:rsidRDefault="00047EB4" w:rsidP="00B13114">
            <w:pPr>
              <w:spacing w:after="0"/>
              <w:jc w:val="center"/>
              <w:rPr>
                <w:rFonts w:asciiTheme="minorHAnsi" w:hAnsiTheme="minorHAnsi" w:cs="Times New Roman"/>
                <w:b/>
                <w:sz w:val="18"/>
                <w:szCs w:val="18"/>
              </w:rPr>
            </w:pPr>
            <w:r w:rsidRPr="0071153A">
              <w:rPr>
                <w:rFonts w:asciiTheme="minorHAnsi" w:hAnsiTheme="minorHAnsi" w:cs="Times New Roman"/>
                <w:b/>
                <w:sz w:val="18"/>
                <w:szCs w:val="18"/>
              </w:rPr>
              <w:t>Zone</w:t>
            </w:r>
          </w:p>
        </w:tc>
        <w:tc>
          <w:tcPr>
            <w:tcW w:w="10043" w:type="dxa"/>
          </w:tcPr>
          <w:p w:rsidR="00047EB4" w:rsidRPr="0071153A" w:rsidRDefault="00047EB4" w:rsidP="00B13114">
            <w:pPr>
              <w:pStyle w:val="Paragraphedeliste"/>
              <w:spacing w:after="0"/>
              <w:ind w:left="360"/>
              <w:jc w:val="center"/>
              <w:rPr>
                <w:rFonts w:asciiTheme="minorHAnsi" w:hAnsiTheme="minorHAnsi" w:cs="Times New Roman"/>
                <w:b/>
                <w:sz w:val="18"/>
                <w:szCs w:val="18"/>
              </w:rPr>
            </w:pPr>
            <w:r w:rsidRPr="0071153A">
              <w:rPr>
                <w:rFonts w:asciiTheme="minorHAnsi" w:hAnsiTheme="minorHAnsi" w:cs="Times New Roman"/>
                <w:b/>
                <w:sz w:val="18"/>
                <w:szCs w:val="18"/>
              </w:rPr>
              <w:t>Etapes</w:t>
            </w:r>
          </w:p>
        </w:tc>
      </w:tr>
      <w:tr w:rsidR="00047EB4" w:rsidRPr="0071153A" w:rsidTr="00910A4F">
        <w:trPr>
          <w:cantSplit/>
          <w:trHeight w:val="734"/>
        </w:trPr>
        <w:tc>
          <w:tcPr>
            <w:tcW w:w="838" w:type="dxa"/>
            <w:vMerge w:val="restart"/>
            <w:textDirection w:val="btLr"/>
          </w:tcPr>
          <w:p w:rsidR="00047EB4" w:rsidRPr="0071153A" w:rsidRDefault="00047EB4" w:rsidP="00B13114">
            <w:pPr>
              <w:ind w:left="113" w:right="113"/>
              <w:jc w:val="center"/>
              <w:rPr>
                <w:rFonts w:asciiTheme="minorHAnsi" w:hAnsiTheme="minorHAnsi" w:cs="Times New Roman"/>
                <w:b/>
                <w:sz w:val="18"/>
                <w:szCs w:val="18"/>
              </w:rPr>
            </w:pPr>
            <w:r w:rsidRPr="0071153A">
              <w:rPr>
                <w:rFonts w:asciiTheme="minorHAnsi" w:hAnsiTheme="minorHAnsi" w:cs="Times New Roman"/>
                <w:b/>
                <w:sz w:val="18"/>
                <w:szCs w:val="18"/>
              </w:rPr>
              <w:t>Zone Lavage</w:t>
            </w:r>
          </w:p>
        </w:tc>
        <w:tc>
          <w:tcPr>
            <w:tcW w:w="10043" w:type="dxa"/>
          </w:tcPr>
          <w:p w:rsidR="00047EB4" w:rsidRPr="0071153A" w:rsidRDefault="00047EB4" w:rsidP="00047EB4">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 xml:space="preserve">Notation sur </w:t>
            </w:r>
            <w:r>
              <w:rPr>
                <w:rFonts w:asciiTheme="minorHAnsi" w:hAnsiTheme="minorHAnsi" w:cs="Times New Roman"/>
                <w:sz w:val="18"/>
                <w:szCs w:val="18"/>
              </w:rPr>
              <w:t xml:space="preserve">fiche de </w:t>
            </w:r>
            <w:r w:rsidR="00FE5F39">
              <w:rPr>
                <w:rFonts w:asciiTheme="minorHAnsi" w:hAnsiTheme="minorHAnsi" w:cs="Times New Roman"/>
                <w:sz w:val="18"/>
                <w:szCs w:val="18"/>
              </w:rPr>
              <w:t xml:space="preserve">liaison STE/Bloc </w:t>
            </w:r>
            <w:r w:rsidRPr="0071153A">
              <w:rPr>
                <w:rFonts w:asciiTheme="minorHAnsi" w:hAnsiTheme="minorHAnsi" w:cs="Times New Roman"/>
                <w:sz w:val="18"/>
                <w:szCs w:val="18"/>
              </w:rPr>
              <w:t>: heure d’arrivée client- nombre d</w:t>
            </w:r>
            <w:r>
              <w:rPr>
                <w:rFonts w:asciiTheme="minorHAnsi" w:hAnsiTheme="minorHAnsi" w:cs="Times New Roman"/>
                <w:sz w:val="18"/>
                <w:szCs w:val="18"/>
              </w:rPr>
              <w:t>e conteneurs ou boîtes</w:t>
            </w:r>
            <w:r w:rsidRPr="0071153A">
              <w:rPr>
                <w:rFonts w:asciiTheme="minorHAnsi" w:hAnsiTheme="minorHAnsi" w:cs="Times New Roman"/>
                <w:sz w:val="18"/>
                <w:szCs w:val="18"/>
              </w:rPr>
              <w:t>- code s’il existe</w:t>
            </w:r>
          </w:p>
          <w:p w:rsidR="00047EB4" w:rsidRPr="0071153A" w:rsidRDefault="00047EB4" w:rsidP="00047EB4">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Ouverture conteneur et boite et dépose des paniers remplis de DM sur</w:t>
            </w:r>
            <w:r w:rsidR="00A1114F">
              <w:rPr>
                <w:rFonts w:asciiTheme="minorHAnsi" w:hAnsiTheme="minorHAnsi" w:cs="Times New Roman"/>
                <w:sz w:val="18"/>
                <w:szCs w:val="18"/>
              </w:rPr>
              <w:t xml:space="preserve"> le plan de travail</w:t>
            </w:r>
          </w:p>
          <w:p w:rsidR="00047EB4" w:rsidRPr="00047EB4" w:rsidRDefault="00047EB4" w:rsidP="00047EB4">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 xml:space="preserve">Envoi des conteneurs et boites </w:t>
            </w:r>
            <w:r>
              <w:rPr>
                <w:rFonts w:asciiTheme="minorHAnsi" w:hAnsiTheme="minorHAnsi" w:cs="Times New Roman"/>
                <w:sz w:val="18"/>
                <w:szCs w:val="18"/>
              </w:rPr>
              <w:t>au</w:t>
            </w:r>
            <w:r w:rsidRPr="0071153A">
              <w:rPr>
                <w:rFonts w:asciiTheme="minorHAnsi" w:hAnsiTheme="minorHAnsi" w:cs="Times New Roman"/>
                <w:sz w:val="18"/>
                <w:szCs w:val="18"/>
              </w:rPr>
              <w:t xml:space="preserve"> lavage (conteneurs désolidarisés sur support pour lavage en machine (A° = 600s)</w:t>
            </w:r>
          </w:p>
        </w:tc>
      </w:tr>
      <w:tr w:rsidR="00047EB4" w:rsidRPr="0071153A" w:rsidTr="00910A4F">
        <w:trPr>
          <w:cantSplit/>
          <w:trHeight w:val="1134"/>
        </w:trPr>
        <w:tc>
          <w:tcPr>
            <w:tcW w:w="838" w:type="dxa"/>
            <w:vMerge/>
            <w:textDirection w:val="btLr"/>
          </w:tcPr>
          <w:p w:rsidR="00047EB4" w:rsidRPr="0071153A" w:rsidRDefault="00047EB4" w:rsidP="00B13114">
            <w:pPr>
              <w:ind w:left="113" w:right="113"/>
              <w:jc w:val="center"/>
              <w:rPr>
                <w:rFonts w:asciiTheme="minorHAnsi" w:hAnsiTheme="minorHAnsi" w:cs="Times New Roman"/>
                <w:b/>
                <w:sz w:val="18"/>
                <w:szCs w:val="18"/>
              </w:rPr>
            </w:pPr>
          </w:p>
        </w:tc>
        <w:tc>
          <w:tcPr>
            <w:tcW w:w="10043" w:type="dxa"/>
          </w:tcPr>
          <w:p w:rsidR="00047EB4" w:rsidRPr="0071153A" w:rsidRDefault="00047EB4" w:rsidP="00047EB4">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 xml:space="preserve">Prise en charge d’un panier – </w:t>
            </w:r>
            <w:r>
              <w:rPr>
                <w:rFonts w:asciiTheme="minorHAnsi" w:hAnsiTheme="minorHAnsi" w:cs="Times New Roman"/>
                <w:sz w:val="18"/>
                <w:szCs w:val="18"/>
              </w:rPr>
              <w:t>avec fiche de liaison STE /Bloc</w:t>
            </w:r>
          </w:p>
          <w:p w:rsidR="00047EB4" w:rsidRPr="0071153A" w:rsidRDefault="00047EB4" w:rsidP="00047EB4">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Répartition des DM dans plusieurs paniers  pour faciliter le lavage</w:t>
            </w:r>
          </w:p>
          <w:p w:rsidR="00047EB4" w:rsidRPr="0071153A" w:rsidRDefault="00047EB4" w:rsidP="00047EB4">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Apposition d’étiquette de panier de lavage sur chaque panier (étiquette jaune)</w:t>
            </w:r>
          </w:p>
          <w:p w:rsidR="0009150B" w:rsidRDefault="00047EB4" w:rsidP="0009150B">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Enregistrement : pro</w:t>
            </w:r>
            <w:r w:rsidR="00FE5F39">
              <w:rPr>
                <w:rFonts w:asciiTheme="minorHAnsi" w:hAnsiTheme="minorHAnsi" w:cs="Times New Roman"/>
                <w:sz w:val="18"/>
                <w:szCs w:val="18"/>
              </w:rPr>
              <w:t>tocole</w:t>
            </w:r>
            <w:r w:rsidRPr="0071153A">
              <w:rPr>
                <w:rFonts w:asciiTheme="minorHAnsi" w:hAnsiTheme="minorHAnsi" w:cs="Times New Roman"/>
                <w:sz w:val="18"/>
                <w:szCs w:val="18"/>
              </w:rPr>
              <w:t xml:space="preserve"> « répartition d’une boite de DM dans plusieurs paniers de lavage »</w:t>
            </w:r>
            <w:r w:rsidR="00B7373F">
              <w:rPr>
                <w:rFonts w:asciiTheme="minorHAnsi" w:hAnsiTheme="minorHAnsi" w:cs="Times New Roman"/>
                <w:sz w:val="18"/>
                <w:szCs w:val="18"/>
              </w:rPr>
              <w:t xml:space="preserve"> fiche de traçabilité </w:t>
            </w:r>
          </w:p>
          <w:p w:rsidR="00047EB4" w:rsidRPr="0071153A" w:rsidRDefault="00047EB4" w:rsidP="0009150B">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Dépose des paniers sur embase pour entrer dans le LD</w:t>
            </w:r>
          </w:p>
        </w:tc>
      </w:tr>
      <w:tr w:rsidR="00047EB4" w:rsidRPr="0071153A" w:rsidTr="00910A4F">
        <w:trPr>
          <w:cantSplit/>
          <w:trHeight w:val="66"/>
        </w:trPr>
        <w:tc>
          <w:tcPr>
            <w:tcW w:w="838" w:type="dxa"/>
            <w:vMerge/>
            <w:textDirection w:val="btLr"/>
          </w:tcPr>
          <w:p w:rsidR="00047EB4" w:rsidRPr="0071153A" w:rsidRDefault="00047EB4" w:rsidP="00B13114">
            <w:pPr>
              <w:ind w:left="113" w:right="113"/>
              <w:jc w:val="center"/>
              <w:rPr>
                <w:rFonts w:asciiTheme="minorHAnsi" w:hAnsiTheme="minorHAnsi" w:cs="Times New Roman"/>
                <w:b/>
                <w:sz w:val="18"/>
                <w:szCs w:val="18"/>
              </w:rPr>
            </w:pPr>
          </w:p>
        </w:tc>
        <w:tc>
          <w:tcPr>
            <w:tcW w:w="10043" w:type="dxa"/>
          </w:tcPr>
          <w:p w:rsidR="00047EB4" w:rsidRPr="0071153A" w:rsidRDefault="00047EB4" w:rsidP="00047EB4">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Enregistrement de l’e</w:t>
            </w:r>
            <w:r w:rsidR="00FE5F39">
              <w:rPr>
                <w:rFonts w:asciiTheme="minorHAnsi" w:hAnsiTheme="minorHAnsi" w:cs="Times New Roman"/>
                <w:sz w:val="18"/>
                <w:szCs w:val="18"/>
              </w:rPr>
              <w:t>mbase plein de paniers : protocole</w:t>
            </w:r>
            <w:r w:rsidRPr="0071153A">
              <w:rPr>
                <w:rFonts w:asciiTheme="minorHAnsi" w:hAnsiTheme="minorHAnsi" w:cs="Times New Roman"/>
                <w:sz w:val="18"/>
                <w:szCs w:val="18"/>
              </w:rPr>
              <w:t xml:space="preserve"> « Tri chariot étiquette lavage »</w:t>
            </w:r>
          </w:p>
        </w:tc>
      </w:tr>
      <w:tr w:rsidR="00047EB4" w:rsidRPr="0071153A" w:rsidTr="00910A4F">
        <w:trPr>
          <w:cantSplit/>
          <w:trHeight w:val="863"/>
        </w:trPr>
        <w:tc>
          <w:tcPr>
            <w:tcW w:w="838" w:type="dxa"/>
            <w:vMerge/>
            <w:textDirection w:val="btLr"/>
          </w:tcPr>
          <w:p w:rsidR="00047EB4" w:rsidRPr="0071153A" w:rsidRDefault="00047EB4" w:rsidP="00B13114">
            <w:pPr>
              <w:ind w:left="113" w:right="113"/>
              <w:jc w:val="center"/>
              <w:rPr>
                <w:rFonts w:asciiTheme="minorHAnsi" w:hAnsiTheme="minorHAnsi" w:cs="Times New Roman"/>
                <w:b/>
                <w:sz w:val="18"/>
                <w:szCs w:val="18"/>
              </w:rPr>
            </w:pPr>
          </w:p>
        </w:tc>
        <w:tc>
          <w:tcPr>
            <w:tcW w:w="10043" w:type="dxa"/>
          </w:tcPr>
          <w:p w:rsidR="00047EB4" w:rsidRPr="0071153A" w:rsidRDefault="00047EB4" w:rsidP="00047EB4">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Enregistrement du chariot pour envoi lavage</w:t>
            </w:r>
          </w:p>
          <w:p w:rsidR="00047EB4" w:rsidRPr="0071153A" w:rsidRDefault="00047EB4" w:rsidP="00047EB4">
            <w:pPr>
              <w:pStyle w:val="Paragraphedeliste"/>
              <w:numPr>
                <w:ilvl w:val="1"/>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Choisir type de cycle : Normal ou PRION</w:t>
            </w:r>
          </w:p>
          <w:p w:rsidR="00047EB4" w:rsidRPr="0071153A" w:rsidRDefault="00047EB4" w:rsidP="00047EB4">
            <w:pPr>
              <w:pStyle w:val="Paragraphedeliste"/>
              <w:numPr>
                <w:ilvl w:val="1"/>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Si cycle PRION, apposer étiquette PRION</w:t>
            </w:r>
          </w:p>
          <w:p w:rsidR="00047EB4" w:rsidRPr="0071153A" w:rsidRDefault="00047EB4" w:rsidP="00047EB4">
            <w:pPr>
              <w:pStyle w:val="Paragraphedeliste"/>
              <w:numPr>
                <w:ilvl w:val="1"/>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Enregistrement : pro</w:t>
            </w:r>
            <w:r w:rsidR="00B7373F">
              <w:rPr>
                <w:rFonts w:asciiTheme="minorHAnsi" w:hAnsiTheme="minorHAnsi" w:cs="Times New Roman"/>
                <w:sz w:val="18"/>
                <w:szCs w:val="18"/>
              </w:rPr>
              <w:t>tocole</w:t>
            </w:r>
            <w:r w:rsidRPr="0071153A">
              <w:rPr>
                <w:rFonts w:asciiTheme="minorHAnsi" w:hAnsiTheme="minorHAnsi" w:cs="Times New Roman"/>
                <w:sz w:val="18"/>
                <w:szCs w:val="18"/>
              </w:rPr>
              <w:t xml:space="preserve"> « chargement file d’attente laveur »</w:t>
            </w:r>
          </w:p>
          <w:p w:rsidR="00047EB4" w:rsidRPr="0071153A" w:rsidRDefault="00047EB4" w:rsidP="00047EB4">
            <w:pPr>
              <w:pStyle w:val="Paragraphedeliste"/>
              <w:numPr>
                <w:ilvl w:val="1"/>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Dépose embase sur tapis pour départ automatique</w:t>
            </w:r>
          </w:p>
        </w:tc>
      </w:tr>
      <w:tr w:rsidR="00047EB4" w:rsidRPr="0071153A" w:rsidTr="00910A4F">
        <w:trPr>
          <w:cantSplit/>
          <w:trHeight w:val="635"/>
        </w:trPr>
        <w:tc>
          <w:tcPr>
            <w:tcW w:w="838" w:type="dxa"/>
            <w:vMerge/>
            <w:textDirection w:val="btLr"/>
          </w:tcPr>
          <w:p w:rsidR="00047EB4" w:rsidRPr="0071153A" w:rsidRDefault="00047EB4" w:rsidP="00B13114">
            <w:pPr>
              <w:ind w:left="113" w:right="113"/>
              <w:jc w:val="center"/>
              <w:rPr>
                <w:rFonts w:asciiTheme="minorHAnsi" w:hAnsiTheme="minorHAnsi" w:cs="Times New Roman"/>
                <w:b/>
                <w:sz w:val="18"/>
                <w:szCs w:val="18"/>
              </w:rPr>
            </w:pPr>
          </w:p>
        </w:tc>
        <w:tc>
          <w:tcPr>
            <w:tcW w:w="10043" w:type="dxa"/>
          </w:tcPr>
          <w:p w:rsidR="00047EB4" w:rsidRPr="0071153A" w:rsidRDefault="00047EB4" w:rsidP="00047EB4">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Lavage des DM ne pouvant pas passer au LD</w:t>
            </w:r>
          </w:p>
          <w:p w:rsidR="00047EB4" w:rsidRPr="0071153A" w:rsidRDefault="00047EB4" w:rsidP="00047EB4">
            <w:pPr>
              <w:pStyle w:val="Paragraphedeliste"/>
              <w:numPr>
                <w:ilvl w:val="1"/>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lavage à la main ou à la vapeur ou par ultra-sons</w:t>
            </w:r>
          </w:p>
          <w:p w:rsidR="00047EB4" w:rsidRPr="0071153A" w:rsidRDefault="00047EB4" w:rsidP="00047EB4">
            <w:pPr>
              <w:pStyle w:val="Paragraphedeliste"/>
              <w:numPr>
                <w:ilvl w:val="1"/>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séchage par soufflette</w:t>
            </w:r>
          </w:p>
          <w:p w:rsidR="00047EB4" w:rsidRPr="0071153A" w:rsidRDefault="00047EB4" w:rsidP="00B7373F">
            <w:pPr>
              <w:pStyle w:val="Paragraphedeliste"/>
              <w:numPr>
                <w:ilvl w:val="1"/>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 xml:space="preserve">dépose en </w:t>
            </w:r>
            <w:r w:rsidR="00B7373F">
              <w:rPr>
                <w:rFonts w:asciiTheme="minorHAnsi" w:hAnsiTheme="minorHAnsi" w:cs="Times New Roman"/>
                <w:sz w:val="18"/>
                <w:szCs w:val="18"/>
              </w:rPr>
              <w:t>SAS</w:t>
            </w:r>
            <w:r w:rsidRPr="0071153A">
              <w:rPr>
                <w:rFonts w:asciiTheme="minorHAnsi" w:hAnsiTheme="minorHAnsi" w:cs="Times New Roman"/>
                <w:sz w:val="18"/>
                <w:szCs w:val="18"/>
              </w:rPr>
              <w:t xml:space="preserve"> double portes</w:t>
            </w:r>
          </w:p>
        </w:tc>
      </w:tr>
      <w:tr w:rsidR="00B7373F" w:rsidRPr="0071153A" w:rsidTr="00910A4F">
        <w:trPr>
          <w:trHeight w:val="1107"/>
        </w:trPr>
        <w:tc>
          <w:tcPr>
            <w:tcW w:w="838" w:type="dxa"/>
            <w:textDirection w:val="btLr"/>
          </w:tcPr>
          <w:p w:rsidR="00B7373F" w:rsidRPr="0071153A" w:rsidRDefault="00B7373F" w:rsidP="00B13114">
            <w:pPr>
              <w:spacing w:after="0"/>
              <w:ind w:left="113" w:right="113"/>
              <w:jc w:val="center"/>
              <w:rPr>
                <w:rFonts w:asciiTheme="minorHAnsi" w:hAnsiTheme="minorHAnsi" w:cs="Times New Roman"/>
                <w:b/>
                <w:sz w:val="18"/>
                <w:szCs w:val="18"/>
              </w:rPr>
            </w:pPr>
            <w:r w:rsidRPr="0071153A">
              <w:rPr>
                <w:rFonts w:asciiTheme="minorHAnsi" w:hAnsiTheme="minorHAnsi" w:cs="Times New Roman"/>
                <w:b/>
                <w:sz w:val="18"/>
                <w:szCs w:val="18"/>
              </w:rPr>
              <w:t xml:space="preserve">Zone propre </w:t>
            </w:r>
          </w:p>
          <w:p w:rsidR="00B7373F" w:rsidRPr="0071153A" w:rsidRDefault="00B7373F" w:rsidP="00B7373F">
            <w:pPr>
              <w:spacing w:after="0"/>
              <w:ind w:left="113" w:right="113"/>
              <w:jc w:val="center"/>
              <w:rPr>
                <w:rFonts w:asciiTheme="minorHAnsi" w:hAnsiTheme="minorHAnsi" w:cs="Times New Roman"/>
                <w:b/>
                <w:sz w:val="18"/>
                <w:szCs w:val="18"/>
              </w:rPr>
            </w:pPr>
            <w:r>
              <w:rPr>
                <w:rFonts w:asciiTheme="minorHAnsi" w:hAnsiTheme="minorHAnsi" w:cs="Times New Roman"/>
                <w:b/>
                <w:sz w:val="18"/>
                <w:szCs w:val="18"/>
              </w:rPr>
              <w:t>sortie LD</w:t>
            </w:r>
          </w:p>
        </w:tc>
        <w:tc>
          <w:tcPr>
            <w:tcW w:w="10043" w:type="dxa"/>
          </w:tcPr>
          <w:p w:rsidR="00B7373F" w:rsidRPr="0071153A" w:rsidRDefault="00B7373F" w:rsidP="00047EB4">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Edition automatique  d’un document papier en 2 pages : processus lavage terminé (courbes de lavage)</w:t>
            </w:r>
          </w:p>
          <w:p w:rsidR="00B7373F" w:rsidRPr="0071153A" w:rsidRDefault="00B7373F" w:rsidP="00047EB4">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Enregistrement du chariot à la sortie du LD : pro</w:t>
            </w:r>
            <w:r>
              <w:rPr>
                <w:rFonts w:asciiTheme="minorHAnsi" w:hAnsiTheme="minorHAnsi" w:cs="Times New Roman"/>
                <w:sz w:val="18"/>
                <w:szCs w:val="18"/>
              </w:rPr>
              <w:t>tocole</w:t>
            </w:r>
            <w:r w:rsidRPr="0071153A">
              <w:rPr>
                <w:rFonts w:asciiTheme="minorHAnsi" w:hAnsiTheme="minorHAnsi" w:cs="Times New Roman"/>
                <w:sz w:val="18"/>
                <w:szCs w:val="18"/>
              </w:rPr>
              <w:t> : « approbation du cycle de lavage »</w:t>
            </w:r>
          </w:p>
          <w:p w:rsidR="00B7373F" w:rsidRPr="0071153A" w:rsidRDefault="00B7373F" w:rsidP="00047EB4">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Edition feuille « processus lavage approuvé » avec listing des paniers sur l’embase</w:t>
            </w:r>
          </w:p>
          <w:p w:rsidR="00B7373F" w:rsidRPr="0071153A" w:rsidRDefault="00B7373F" w:rsidP="00047EB4">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Séchage par soufflette de tous les  objets creux et susceptibles de garder l’humidité</w:t>
            </w:r>
            <w:r>
              <w:rPr>
                <w:rFonts w:asciiTheme="minorHAnsi" w:hAnsiTheme="minorHAnsi" w:cs="Times New Roman"/>
                <w:sz w:val="18"/>
                <w:szCs w:val="18"/>
              </w:rPr>
              <w:t xml:space="preserve"> si nécessaire</w:t>
            </w:r>
          </w:p>
          <w:p w:rsidR="00B7373F" w:rsidRPr="0071153A" w:rsidRDefault="00B7373F" w:rsidP="00047EB4">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P</w:t>
            </w:r>
            <w:r>
              <w:rPr>
                <w:rFonts w:asciiTheme="minorHAnsi" w:hAnsiTheme="minorHAnsi" w:cs="Times New Roman"/>
                <w:sz w:val="18"/>
                <w:szCs w:val="18"/>
              </w:rPr>
              <w:t>réparation des conteneurs </w:t>
            </w:r>
          </w:p>
        </w:tc>
      </w:tr>
      <w:tr w:rsidR="00047EB4" w:rsidRPr="0071153A" w:rsidTr="00910A4F">
        <w:trPr>
          <w:trHeight w:val="267"/>
        </w:trPr>
        <w:tc>
          <w:tcPr>
            <w:tcW w:w="838" w:type="dxa"/>
            <w:vMerge w:val="restart"/>
            <w:textDirection w:val="btLr"/>
          </w:tcPr>
          <w:p w:rsidR="00047EB4" w:rsidRPr="0071153A" w:rsidRDefault="00047EB4" w:rsidP="00B13114">
            <w:pPr>
              <w:ind w:left="113" w:right="113"/>
              <w:jc w:val="center"/>
              <w:rPr>
                <w:rFonts w:asciiTheme="minorHAnsi" w:hAnsiTheme="minorHAnsi" w:cs="Times New Roman"/>
                <w:b/>
                <w:sz w:val="18"/>
                <w:szCs w:val="18"/>
              </w:rPr>
            </w:pPr>
            <w:r w:rsidRPr="0071153A">
              <w:rPr>
                <w:rFonts w:asciiTheme="minorHAnsi" w:hAnsiTheme="minorHAnsi" w:cs="Times New Roman"/>
                <w:b/>
                <w:sz w:val="18"/>
                <w:szCs w:val="18"/>
              </w:rPr>
              <w:t>Zone conditionnement</w:t>
            </w:r>
          </w:p>
        </w:tc>
        <w:tc>
          <w:tcPr>
            <w:tcW w:w="10043" w:type="dxa"/>
          </w:tcPr>
          <w:p w:rsidR="00047EB4" w:rsidRPr="0071153A" w:rsidRDefault="00047EB4" w:rsidP="00047EB4">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Recomposition des plateaux</w:t>
            </w:r>
          </w:p>
          <w:p w:rsidR="00047EB4" w:rsidRPr="0071153A" w:rsidRDefault="00B7373F" w:rsidP="00047EB4">
            <w:pPr>
              <w:pStyle w:val="Paragraphedeliste"/>
              <w:numPr>
                <w:ilvl w:val="1"/>
                <w:numId w:val="2"/>
              </w:numPr>
              <w:spacing w:after="0" w:line="240" w:lineRule="auto"/>
              <w:contextualSpacing/>
              <w:rPr>
                <w:rFonts w:asciiTheme="minorHAnsi" w:hAnsiTheme="minorHAnsi" w:cs="Times New Roman"/>
                <w:sz w:val="18"/>
                <w:szCs w:val="18"/>
              </w:rPr>
            </w:pPr>
            <w:r>
              <w:rPr>
                <w:rFonts w:asciiTheme="minorHAnsi" w:hAnsiTheme="minorHAnsi" w:cs="Times New Roman"/>
                <w:sz w:val="18"/>
                <w:szCs w:val="18"/>
              </w:rPr>
              <w:t>Fiche de traçabilité :</w:t>
            </w:r>
          </w:p>
          <w:p w:rsidR="00047EB4" w:rsidRPr="0071153A" w:rsidRDefault="00047EB4" w:rsidP="00047EB4">
            <w:pPr>
              <w:pStyle w:val="Paragraphedeliste"/>
              <w:numPr>
                <w:ilvl w:val="2"/>
                <w:numId w:val="2"/>
              </w:numPr>
              <w:spacing w:after="0" w:line="240" w:lineRule="auto"/>
              <w:ind w:firstLine="227"/>
              <w:contextualSpacing/>
              <w:rPr>
                <w:rFonts w:asciiTheme="minorHAnsi" w:hAnsiTheme="minorHAnsi" w:cs="Times New Roman"/>
                <w:sz w:val="18"/>
                <w:szCs w:val="18"/>
              </w:rPr>
            </w:pPr>
            <w:r w:rsidRPr="0071153A">
              <w:rPr>
                <w:rFonts w:asciiTheme="minorHAnsi" w:hAnsiTheme="minorHAnsi" w:cs="Times New Roman"/>
                <w:sz w:val="18"/>
                <w:szCs w:val="18"/>
              </w:rPr>
              <w:t>Si panier seul, le nom du plateau et le listing de DM s’affiche sur écran</w:t>
            </w:r>
          </w:p>
          <w:p w:rsidR="00047EB4" w:rsidRPr="0071153A" w:rsidRDefault="00047EB4" w:rsidP="00047EB4">
            <w:pPr>
              <w:pStyle w:val="Paragraphedeliste"/>
              <w:numPr>
                <w:ilvl w:val="2"/>
                <w:numId w:val="2"/>
              </w:numPr>
              <w:spacing w:after="0" w:line="240" w:lineRule="auto"/>
              <w:ind w:firstLine="227"/>
              <w:contextualSpacing/>
              <w:rPr>
                <w:rFonts w:asciiTheme="minorHAnsi" w:hAnsiTheme="minorHAnsi" w:cs="Times New Roman"/>
                <w:sz w:val="18"/>
                <w:szCs w:val="18"/>
              </w:rPr>
            </w:pPr>
            <w:r w:rsidRPr="0071153A">
              <w:rPr>
                <w:rFonts w:asciiTheme="minorHAnsi" w:hAnsiTheme="minorHAnsi" w:cs="Times New Roman"/>
                <w:sz w:val="18"/>
                <w:szCs w:val="18"/>
              </w:rPr>
              <w:t>Si plusieurs paniers, les numéros des paniers manquant</w:t>
            </w:r>
            <w:r w:rsidR="00B7373F">
              <w:rPr>
                <w:rFonts w:asciiTheme="minorHAnsi" w:hAnsiTheme="minorHAnsi" w:cs="Times New Roman"/>
                <w:sz w:val="18"/>
                <w:szCs w:val="18"/>
              </w:rPr>
              <w:t>s</w:t>
            </w:r>
            <w:r w:rsidRPr="0071153A">
              <w:rPr>
                <w:rFonts w:asciiTheme="minorHAnsi" w:hAnsiTheme="minorHAnsi" w:cs="Times New Roman"/>
                <w:sz w:val="18"/>
                <w:szCs w:val="18"/>
              </w:rPr>
              <w:t xml:space="preserve"> pour recomposer le plateau s’affichent sur écran</w:t>
            </w:r>
          </w:p>
          <w:p w:rsidR="00047EB4" w:rsidRPr="0071153A" w:rsidRDefault="00047EB4" w:rsidP="00047EB4">
            <w:pPr>
              <w:pStyle w:val="Paragraphedeliste"/>
              <w:numPr>
                <w:ilvl w:val="1"/>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Recomposition du plateau</w:t>
            </w:r>
          </w:p>
          <w:p w:rsidR="00047EB4" w:rsidRPr="0071153A" w:rsidRDefault="00047EB4" w:rsidP="00047EB4">
            <w:pPr>
              <w:pStyle w:val="Paragraphedeliste"/>
              <w:numPr>
                <w:ilvl w:val="1"/>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Validation du contenu du plateau</w:t>
            </w:r>
          </w:p>
          <w:p w:rsidR="00047EB4" w:rsidRPr="0071153A" w:rsidRDefault="00047EB4" w:rsidP="00047EB4">
            <w:pPr>
              <w:pStyle w:val="Paragraphedeliste"/>
              <w:numPr>
                <w:ilvl w:val="1"/>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Edition après validation d’une étiquette</w:t>
            </w:r>
          </w:p>
          <w:p w:rsidR="00047EB4" w:rsidRPr="0071153A" w:rsidRDefault="00047EB4" w:rsidP="00047EB4">
            <w:pPr>
              <w:pStyle w:val="Paragraphedeliste"/>
              <w:numPr>
                <w:ilvl w:val="1"/>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Emballage du plateau de DM</w:t>
            </w:r>
          </w:p>
          <w:p w:rsidR="00047EB4" w:rsidRPr="0071153A" w:rsidRDefault="00047EB4" w:rsidP="00047EB4">
            <w:pPr>
              <w:pStyle w:val="Paragraphedeliste"/>
              <w:numPr>
                <w:ilvl w:val="1"/>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Coller l’étiquette sur l’emballage</w:t>
            </w:r>
          </w:p>
        </w:tc>
      </w:tr>
      <w:tr w:rsidR="00047EB4" w:rsidRPr="0071153A" w:rsidTr="00910A4F">
        <w:trPr>
          <w:trHeight w:val="958"/>
        </w:trPr>
        <w:tc>
          <w:tcPr>
            <w:tcW w:w="838" w:type="dxa"/>
            <w:vMerge/>
            <w:textDirection w:val="btLr"/>
          </w:tcPr>
          <w:p w:rsidR="00047EB4" w:rsidRPr="0071153A" w:rsidRDefault="00047EB4" w:rsidP="00B13114">
            <w:pPr>
              <w:ind w:left="113" w:right="113"/>
              <w:jc w:val="center"/>
              <w:rPr>
                <w:rFonts w:asciiTheme="minorHAnsi" w:hAnsiTheme="minorHAnsi" w:cs="Times New Roman"/>
                <w:b/>
                <w:sz w:val="18"/>
                <w:szCs w:val="18"/>
              </w:rPr>
            </w:pPr>
          </w:p>
        </w:tc>
        <w:tc>
          <w:tcPr>
            <w:tcW w:w="10043" w:type="dxa"/>
          </w:tcPr>
          <w:p w:rsidR="00047EB4" w:rsidRPr="0071153A" w:rsidRDefault="00047EB4" w:rsidP="00047EB4">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Composition de la charge : charge conteneur uniquement ou uniquement crêpé ou uniquement panier</w:t>
            </w:r>
          </w:p>
          <w:p w:rsidR="00047EB4" w:rsidRPr="0071153A" w:rsidRDefault="00047EB4" w:rsidP="00047EB4">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 xml:space="preserve">Mise en place de 3 indicateurs prion par charge </w:t>
            </w:r>
          </w:p>
          <w:p w:rsidR="00047EB4" w:rsidRPr="0071153A" w:rsidRDefault="00047EB4" w:rsidP="00047EB4">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 xml:space="preserve">Enregistrement des différents lots constituant la charge sur l’embase </w:t>
            </w:r>
            <w:r w:rsidR="00B7373F">
              <w:rPr>
                <w:rFonts w:asciiTheme="minorHAnsi" w:hAnsiTheme="minorHAnsi" w:cs="Times New Roman"/>
                <w:sz w:val="18"/>
                <w:szCs w:val="18"/>
              </w:rPr>
              <w:t xml:space="preserve">(fiche </w:t>
            </w:r>
            <w:r w:rsidR="00FE5F39">
              <w:rPr>
                <w:rFonts w:asciiTheme="minorHAnsi" w:hAnsiTheme="minorHAnsi" w:cs="Times New Roman"/>
                <w:sz w:val="18"/>
                <w:szCs w:val="18"/>
              </w:rPr>
              <w:t xml:space="preserve">de </w:t>
            </w:r>
            <w:r w:rsidR="00B7373F">
              <w:rPr>
                <w:rFonts w:asciiTheme="minorHAnsi" w:hAnsiTheme="minorHAnsi" w:cs="Times New Roman"/>
                <w:sz w:val="18"/>
                <w:szCs w:val="18"/>
              </w:rPr>
              <w:t>traçabilité)</w:t>
            </w:r>
          </w:p>
          <w:p w:rsidR="00047EB4" w:rsidRPr="0071153A" w:rsidRDefault="00047EB4" w:rsidP="00047EB4">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Enregistrement de la charge pour envoi en autoclavage : pro</w:t>
            </w:r>
            <w:r w:rsidR="00B7373F">
              <w:rPr>
                <w:rFonts w:asciiTheme="minorHAnsi" w:hAnsiTheme="minorHAnsi" w:cs="Times New Roman"/>
                <w:sz w:val="18"/>
                <w:szCs w:val="18"/>
              </w:rPr>
              <w:t>tocole</w:t>
            </w:r>
            <w:r w:rsidRPr="0071153A">
              <w:rPr>
                <w:rFonts w:asciiTheme="minorHAnsi" w:hAnsiTheme="minorHAnsi" w:cs="Times New Roman"/>
                <w:sz w:val="18"/>
                <w:szCs w:val="18"/>
              </w:rPr>
              <w:t xml:space="preserve"> « chargement file d’attente stérilisation »</w:t>
            </w:r>
          </w:p>
          <w:p w:rsidR="00047EB4" w:rsidRPr="0071153A" w:rsidRDefault="00047EB4" w:rsidP="00B7373F">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Dépose embase sur</w:t>
            </w:r>
            <w:r w:rsidR="00B7373F">
              <w:rPr>
                <w:rFonts w:asciiTheme="minorHAnsi" w:hAnsiTheme="minorHAnsi" w:cs="Times New Roman"/>
                <w:sz w:val="18"/>
                <w:szCs w:val="18"/>
              </w:rPr>
              <w:t xml:space="preserve"> chariot</w:t>
            </w:r>
          </w:p>
        </w:tc>
      </w:tr>
      <w:tr w:rsidR="00047EB4" w:rsidRPr="0071153A" w:rsidTr="00910A4F">
        <w:trPr>
          <w:trHeight w:val="125"/>
        </w:trPr>
        <w:tc>
          <w:tcPr>
            <w:tcW w:w="838" w:type="dxa"/>
            <w:textDirection w:val="btLr"/>
          </w:tcPr>
          <w:p w:rsidR="00047EB4" w:rsidRPr="0071153A" w:rsidRDefault="00047EB4" w:rsidP="00B13114">
            <w:pPr>
              <w:ind w:left="113" w:right="113"/>
              <w:jc w:val="center"/>
              <w:rPr>
                <w:rFonts w:asciiTheme="minorHAnsi" w:hAnsiTheme="minorHAnsi" w:cs="Times New Roman"/>
                <w:b/>
                <w:sz w:val="18"/>
                <w:szCs w:val="18"/>
              </w:rPr>
            </w:pPr>
            <w:r w:rsidRPr="0071153A">
              <w:rPr>
                <w:rFonts w:asciiTheme="minorHAnsi" w:hAnsiTheme="minorHAnsi" w:cs="Times New Roman"/>
                <w:b/>
                <w:sz w:val="18"/>
                <w:szCs w:val="18"/>
              </w:rPr>
              <w:t>Zone expédition</w:t>
            </w:r>
          </w:p>
        </w:tc>
        <w:tc>
          <w:tcPr>
            <w:tcW w:w="10043" w:type="dxa"/>
          </w:tcPr>
          <w:p w:rsidR="00047EB4" w:rsidRPr="0071153A" w:rsidRDefault="00047EB4" w:rsidP="00047EB4">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Edition automatique  d’un document papier en 2 pages : processus stérilisateur  terminé (courbes de stérilisation et valeur de stérilisation)</w:t>
            </w:r>
          </w:p>
          <w:p w:rsidR="00047EB4" w:rsidRPr="0071153A" w:rsidRDefault="00047EB4" w:rsidP="00047EB4">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Enregistrement de l’embase à la sortie de l’autoclave : pro</w:t>
            </w:r>
            <w:r w:rsidR="00B7373F">
              <w:rPr>
                <w:rFonts w:asciiTheme="minorHAnsi" w:hAnsiTheme="minorHAnsi" w:cs="Times New Roman"/>
                <w:sz w:val="18"/>
                <w:szCs w:val="18"/>
              </w:rPr>
              <w:t>tocole</w:t>
            </w:r>
            <w:r w:rsidRPr="0071153A">
              <w:rPr>
                <w:rFonts w:asciiTheme="minorHAnsi" w:hAnsiTheme="minorHAnsi" w:cs="Times New Roman"/>
                <w:sz w:val="18"/>
                <w:szCs w:val="18"/>
              </w:rPr>
              <w:t> : « approbation du cycle de stérilisation »</w:t>
            </w:r>
          </w:p>
          <w:p w:rsidR="00047EB4" w:rsidRPr="0071153A" w:rsidRDefault="00047EB4" w:rsidP="00047EB4">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Edition feuille « processus stérilisateur initialisé » avec listing des lots (paniers et conteneurs et crêpés)  présents sur l’embase</w:t>
            </w:r>
          </w:p>
          <w:p w:rsidR="00047EB4" w:rsidRPr="0071153A" w:rsidRDefault="00047EB4" w:rsidP="00047EB4">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 xml:space="preserve">Validation de la charge </w:t>
            </w:r>
          </w:p>
          <w:p w:rsidR="00047EB4" w:rsidRPr="0071153A" w:rsidRDefault="00047EB4" w:rsidP="00047EB4">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Enregistrement : pro</w:t>
            </w:r>
            <w:r w:rsidR="00B7373F">
              <w:rPr>
                <w:rFonts w:asciiTheme="minorHAnsi" w:hAnsiTheme="minorHAnsi" w:cs="Times New Roman"/>
                <w:sz w:val="18"/>
                <w:szCs w:val="18"/>
              </w:rPr>
              <w:t>tocole</w:t>
            </w:r>
            <w:r w:rsidRPr="0071153A">
              <w:rPr>
                <w:rFonts w:asciiTheme="minorHAnsi" w:hAnsiTheme="minorHAnsi" w:cs="Times New Roman"/>
                <w:sz w:val="18"/>
                <w:szCs w:val="18"/>
              </w:rPr>
              <w:t xml:space="preserve"> « Distribution avec contrôle client »  </w:t>
            </w:r>
            <w:r w:rsidR="00FE5F39">
              <w:rPr>
                <w:rFonts w:asciiTheme="minorHAnsi" w:hAnsiTheme="minorHAnsi" w:cs="Times New Roman"/>
                <w:sz w:val="18"/>
                <w:szCs w:val="18"/>
              </w:rPr>
              <w:t>(fiche de traçabilité)</w:t>
            </w:r>
          </w:p>
          <w:p w:rsidR="00047EB4" w:rsidRPr="00B7373F" w:rsidRDefault="00047EB4" w:rsidP="00B7373F">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 xml:space="preserve">Edition d’un document avec listing de tous les lots (qui sera mis </w:t>
            </w:r>
            <w:r w:rsidR="00B7373F">
              <w:rPr>
                <w:rFonts w:asciiTheme="minorHAnsi" w:hAnsiTheme="minorHAnsi" w:cs="Times New Roman"/>
                <w:sz w:val="18"/>
                <w:szCs w:val="18"/>
              </w:rPr>
              <w:t>avec les conteneurs en partance</w:t>
            </w:r>
            <w:r w:rsidRPr="0071153A">
              <w:rPr>
                <w:rFonts w:asciiTheme="minorHAnsi" w:hAnsiTheme="minorHAnsi" w:cs="Times New Roman"/>
                <w:sz w:val="18"/>
                <w:szCs w:val="18"/>
              </w:rPr>
              <w:t>)</w:t>
            </w:r>
          </w:p>
          <w:p w:rsidR="00047EB4" w:rsidRPr="0071153A" w:rsidRDefault="00047EB4" w:rsidP="00047EB4">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Edition d’un document avec listing de tous les lots par armoire</w:t>
            </w:r>
          </w:p>
          <w:p w:rsidR="00047EB4" w:rsidRPr="0071153A" w:rsidRDefault="00047EB4" w:rsidP="00B7373F">
            <w:pPr>
              <w:pStyle w:val="Paragraphedeliste"/>
              <w:numPr>
                <w:ilvl w:val="0"/>
                <w:numId w:val="2"/>
              </w:numPr>
              <w:spacing w:after="0" w:line="240" w:lineRule="auto"/>
              <w:contextualSpacing/>
              <w:rPr>
                <w:rFonts w:asciiTheme="minorHAnsi" w:hAnsiTheme="minorHAnsi" w:cs="Times New Roman"/>
                <w:sz w:val="18"/>
                <w:szCs w:val="18"/>
              </w:rPr>
            </w:pPr>
            <w:r w:rsidRPr="0071153A">
              <w:rPr>
                <w:rFonts w:asciiTheme="minorHAnsi" w:hAnsiTheme="minorHAnsi" w:cs="Times New Roman"/>
                <w:sz w:val="18"/>
                <w:szCs w:val="18"/>
              </w:rPr>
              <w:t>Rangement dans l</w:t>
            </w:r>
            <w:r w:rsidR="00B7373F">
              <w:rPr>
                <w:rFonts w:asciiTheme="minorHAnsi" w:hAnsiTheme="minorHAnsi" w:cs="Times New Roman"/>
                <w:sz w:val="18"/>
                <w:szCs w:val="18"/>
              </w:rPr>
              <w:t>e classeur de traçabilité</w:t>
            </w:r>
            <w:r w:rsidR="00FE5F39">
              <w:rPr>
                <w:rFonts w:asciiTheme="minorHAnsi" w:hAnsiTheme="minorHAnsi" w:cs="Times New Roman"/>
                <w:sz w:val="18"/>
                <w:szCs w:val="18"/>
              </w:rPr>
              <w:t xml:space="preserve"> (fiches de liaison et de  traçabilité + enregistrement passage en LD + en stérilisateur+ validation de la charge)</w:t>
            </w:r>
          </w:p>
        </w:tc>
      </w:tr>
    </w:tbl>
    <w:p w:rsidR="00517EFC" w:rsidRDefault="00517EFC"/>
    <w:sectPr w:rsidR="00517EFC" w:rsidSect="00B7373F">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63E75"/>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5982E6D"/>
    <w:multiLevelType w:val="hybridMultilevel"/>
    <w:tmpl w:val="68248EFC"/>
    <w:lvl w:ilvl="0" w:tplc="040C000F">
      <w:start w:val="1"/>
      <w:numFmt w:val="decimal"/>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EB4"/>
    <w:rsid w:val="00012A0A"/>
    <w:rsid w:val="00020319"/>
    <w:rsid w:val="00022595"/>
    <w:rsid w:val="00047EB4"/>
    <w:rsid w:val="000720F5"/>
    <w:rsid w:val="00077AB7"/>
    <w:rsid w:val="00087904"/>
    <w:rsid w:val="0009150B"/>
    <w:rsid w:val="000A3C24"/>
    <w:rsid w:val="000B7699"/>
    <w:rsid w:val="000C2B6D"/>
    <w:rsid w:val="000E0B63"/>
    <w:rsid w:val="000E21B2"/>
    <w:rsid w:val="000E311C"/>
    <w:rsid w:val="000E337A"/>
    <w:rsid w:val="000E532C"/>
    <w:rsid w:val="000F1145"/>
    <w:rsid w:val="000F195F"/>
    <w:rsid w:val="000F25CE"/>
    <w:rsid w:val="00116523"/>
    <w:rsid w:val="00131194"/>
    <w:rsid w:val="00154168"/>
    <w:rsid w:val="00155248"/>
    <w:rsid w:val="001606CC"/>
    <w:rsid w:val="00166976"/>
    <w:rsid w:val="001958A4"/>
    <w:rsid w:val="001B0B39"/>
    <w:rsid w:val="001B4AEC"/>
    <w:rsid w:val="001D7E02"/>
    <w:rsid w:val="001D7FE8"/>
    <w:rsid w:val="001E1E1C"/>
    <w:rsid w:val="001F7A7B"/>
    <w:rsid w:val="00216B0F"/>
    <w:rsid w:val="00220934"/>
    <w:rsid w:val="00231BA0"/>
    <w:rsid w:val="00234864"/>
    <w:rsid w:val="00234E14"/>
    <w:rsid w:val="00242272"/>
    <w:rsid w:val="00260DB2"/>
    <w:rsid w:val="0027004A"/>
    <w:rsid w:val="0027689D"/>
    <w:rsid w:val="00283DA1"/>
    <w:rsid w:val="002B6B93"/>
    <w:rsid w:val="002C33B9"/>
    <w:rsid w:val="002C4BE4"/>
    <w:rsid w:val="002D0A63"/>
    <w:rsid w:val="002E4DEC"/>
    <w:rsid w:val="002F4713"/>
    <w:rsid w:val="00301817"/>
    <w:rsid w:val="00301A10"/>
    <w:rsid w:val="00303BCC"/>
    <w:rsid w:val="0031525F"/>
    <w:rsid w:val="00333B38"/>
    <w:rsid w:val="00356950"/>
    <w:rsid w:val="0036041C"/>
    <w:rsid w:val="00363228"/>
    <w:rsid w:val="0036376A"/>
    <w:rsid w:val="00363B37"/>
    <w:rsid w:val="0036453A"/>
    <w:rsid w:val="003973C9"/>
    <w:rsid w:val="003C1C1E"/>
    <w:rsid w:val="003D392A"/>
    <w:rsid w:val="003E331B"/>
    <w:rsid w:val="003E4CD2"/>
    <w:rsid w:val="003E7637"/>
    <w:rsid w:val="00404C1A"/>
    <w:rsid w:val="0041667C"/>
    <w:rsid w:val="00424D8D"/>
    <w:rsid w:val="00441DD5"/>
    <w:rsid w:val="00445CA8"/>
    <w:rsid w:val="004513F9"/>
    <w:rsid w:val="004800B7"/>
    <w:rsid w:val="004923E3"/>
    <w:rsid w:val="00495FB7"/>
    <w:rsid w:val="004D7135"/>
    <w:rsid w:val="004E0430"/>
    <w:rsid w:val="004F0BF9"/>
    <w:rsid w:val="004F363E"/>
    <w:rsid w:val="004F7C22"/>
    <w:rsid w:val="0050176B"/>
    <w:rsid w:val="00506C89"/>
    <w:rsid w:val="005072D1"/>
    <w:rsid w:val="00513843"/>
    <w:rsid w:val="00517B89"/>
    <w:rsid w:val="00517EFC"/>
    <w:rsid w:val="00525002"/>
    <w:rsid w:val="00541234"/>
    <w:rsid w:val="005451D2"/>
    <w:rsid w:val="005B7499"/>
    <w:rsid w:val="005C478D"/>
    <w:rsid w:val="005C7645"/>
    <w:rsid w:val="005D5EBB"/>
    <w:rsid w:val="0060542F"/>
    <w:rsid w:val="00615757"/>
    <w:rsid w:val="00617A2B"/>
    <w:rsid w:val="006310C8"/>
    <w:rsid w:val="00632F38"/>
    <w:rsid w:val="00676D82"/>
    <w:rsid w:val="00684231"/>
    <w:rsid w:val="00684B7B"/>
    <w:rsid w:val="006A70B7"/>
    <w:rsid w:val="006B1B3B"/>
    <w:rsid w:val="006D1C96"/>
    <w:rsid w:val="006D3D17"/>
    <w:rsid w:val="006E3493"/>
    <w:rsid w:val="006E7284"/>
    <w:rsid w:val="006F2D31"/>
    <w:rsid w:val="006F523E"/>
    <w:rsid w:val="00713495"/>
    <w:rsid w:val="00715C28"/>
    <w:rsid w:val="007430ED"/>
    <w:rsid w:val="007714A4"/>
    <w:rsid w:val="007854AA"/>
    <w:rsid w:val="00797665"/>
    <w:rsid w:val="007A19AD"/>
    <w:rsid w:val="007A52F2"/>
    <w:rsid w:val="007B2290"/>
    <w:rsid w:val="007B4189"/>
    <w:rsid w:val="007E1D8C"/>
    <w:rsid w:val="007E4613"/>
    <w:rsid w:val="007F498D"/>
    <w:rsid w:val="00802116"/>
    <w:rsid w:val="0080224B"/>
    <w:rsid w:val="0081746D"/>
    <w:rsid w:val="00822E6B"/>
    <w:rsid w:val="00825422"/>
    <w:rsid w:val="008303B3"/>
    <w:rsid w:val="00843983"/>
    <w:rsid w:val="008449CD"/>
    <w:rsid w:val="0087073B"/>
    <w:rsid w:val="00871223"/>
    <w:rsid w:val="0087445D"/>
    <w:rsid w:val="00882CB4"/>
    <w:rsid w:val="00887106"/>
    <w:rsid w:val="008A1B83"/>
    <w:rsid w:val="008A40B3"/>
    <w:rsid w:val="008C33B7"/>
    <w:rsid w:val="008C470D"/>
    <w:rsid w:val="008C483D"/>
    <w:rsid w:val="008C4861"/>
    <w:rsid w:val="008C682C"/>
    <w:rsid w:val="008E42AE"/>
    <w:rsid w:val="00910A4F"/>
    <w:rsid w:val="009111CE"/>
    <w:rsid w:val="00920D0E"/>
    <w:rsid w:val="00924862"/>
    <w:rsid w:val="00937CC2"/>
    <w:rsid w:val="009444C8"/>
    <w:rsid w:val="00953779"/>
    <w:rsid w:val="0095561F"/>
    <w:rsid w:val="00956CBC"/>
    <w:rsid w:val="00960DC4"/>
    <w:rsid w:val="00965689"/>
    <w:rsid w:val="00966AEF"/>
    <w:rsid w:val="00976457"/>
    <w:rsid w:val="0098586A"/>
    <w:rsid w:val="00987BAF"/>
    <w:rsid w:val="009B3CB1"/>
    <w:rsid w:val="009C09B3"/>
    <w:rsid w:val="009D637D"/>
    <w:rsid w:val="00A01700"/>
    <w:rsid w:val="00A0265C"/>
    <w:rsid w:val="00A047DC"/>
    <w:rsid w:val="00A058E5"/>
    <w:rsid w:val="00A1114F"/>
    <w:rsid w:val="00A1252E"/>
    <w:rsid w:val="00A2085F"/>
    <w:rsid w:val="00A2565F"/>
    <w:rsid w:val="00A27A02"/>
    <w:rsid w:val="00A4556D"/>
    <w:rsid w:val="00A523CD"/>
    <w:rsid w:val="00A52CC7"/>
    <w:rsid w:val="00A606C0"/>
    <w:rsid w:val="00A61F28"/>
    <w:rsid w:val="00A9009D"/>
    <w:rsid w:val="00A9314A"/>
    <w:rsid w:val="00A93AB1"/>
    <w:rsid w:val="00AA4F94"/>
    <w:rsid w:val="00AC4E26"/>
    <w:rsid w:val="00AC58FF"/>
    <w:rsid w:val="00AE6EA5"/>
    <w:rsid w:val="00AF3712"/>
    <w:rsid w:val="00B041D2"/>
    <w:rsid w:val="00B0471A"/>
    <w:rsid w:val="00B2511C"/>
    <w:rsid w:val="00B40CAC"/>
    <w:rsid w:val="00B61E2A"/>
    <w:rsid w:val="00B67D96"/>
    <w:rsid w:val="00B7373F"/>
    <w:rsid w:val="00B86E2F"/>
    <w:rsid w:val="00BA61FD"/>
    <w:rsid w:val="00BB078E"/>
    <w:rsid w:val="00BB4F4E"/>
    <w:rsid w:val="00BD61A5"/>
    <w:rsid w:val="00BE5F94"/>
    <w:rsid w:val="00C16067"/>
    <w:rsid w:val="00C21AD1"/>
    <w:rsid w:val="00C375DC"/>
    <w:rsid w:val="00C41082"/>
    <w:rsid w:val="00C42D55"/>
    <w:rsid w:val="00C46351"/>
    <w:rsid w:val="00C47666"/>
    <w:rsid w:val="00C5085B"/>
    <w:rsid w:val="00C55FB9"/>
    <w:rsid w:val="00C974F3"/>
    <w:rsid w:val="00CA7F20"/>
    <w:rsid w:val="00CE2A7B"/>
    <w:rsid w:val="00CE6B06"/>
    <w:rsid w:val="00D04EE7"/>
    <w:rsid w:val="00D22364"/>
    <w:rsid w:val="00D34E17"/>
    <w:rsid w:val="00D60EA2"/>
    <w:rsid w:val="00D70248"/>
    <w:rsid w:val="00D751B4"/>
    <w:rsid w:val="00D8120F"/>
    <w:rsid w:val="00D82FB0"/>
    <w:rsid w:val="00D91796"/>
    <w:rsid w:val="00D93E8C"/>
    <w:rsid w:val="00D95598"/>
    <w:rsid w:val="00DA3EEF"/>
    <w:rsid w:val="00DB0E18"/>
    <w:rsid w:val="00DB0F50"/>
    <w:rsid w:val="00DC4DE0"/>
    <w:rsid w:val="00DC50F6"/>
    <w:rsid w:val="00DD5E96"/>
    <w:rsid w:val="00E0052C"/>
    <w:rsid w:val="00E02FAD"/>
    <w:rsid w:val="00E03499"/>
    <w:rsid w:val="00E13D7F"/>
    <w:rsid w:val="00E155F2"/>
    <w:rsid w:val="00E208FC"/>
    <w:rsid w:val="00E219C2"/>
    <w:rsid w:val="00E25160"/>
    <w:rsid w:val="00E403C6"/>
    <w:rsid w:val="00E40B02"/>
    <w:rsid w:val="00E52092"/>
    <w:rsid w:val="00E533F4"/>
    <w:rsid w:val="00E5361A"/>
    <w:rsid w:val="00E65255"/>
    <w:rsid w:val="00E66951"/>
    <w:rsid w:val="00E73BB4"/>
    <w:rsid w:val="00E820F3"/>
    <w:rsid w:val="00E95325"/>
    <w:rsid w:val="00EA6F09"/>
    <w:rsid w:val="00EB378C"/>
    <w:rsid w:val="00EB720B"/>
    <w:rsid w:val="00EC2997"/>
    <w:rsid w:val="00EE2406"/>
    <w:rsid w:val="00EF40FA"/>
    <w:rsid w:val="00EF7F5D"/>
    <w:rsid w:val="00F00E6F"/>
    <w:rsid w:val="00F044A4"/>
    <w:rsid w:val="00F31BCB"/>
    <w:rsid w:val="00F367AD"/>
    <w:rsid w:val="00F91A9F"/>
    <w:rsid w:val="00F936BB"/>
    <w:rsid w:val="00FA1428"/>
    <w:rsid w:val="00FB1210"/>
    <w:rsid w:val="00FC11CF"/>
    <w:rsid w:val="00FD1719"/>
    <w:rsid w:val="00FE0BDB"/>
    <w:rsid w:val="00FE4877"/>
    <w:rsid w:val="00FE5F39"/>
    <w:rsid w:val="00FF4C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EB4"/>
    <w:rPr>
      <w:rFonts w:ascii="Calibri" w:eastAsia="Times New Roman"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7EB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EB4"/>
    <w:rPr>
      <w:rFonts w:ascii="Calibri" w:eastAsia="Times New Roman"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7EB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719</Words>
  <Characters>3959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maline</dc:creator>
  <cp:lastModifiedBy>maline</cp:lastModifiedBy>
  <cp:revision>5</cp:revision>
  <dcterms:created xsi:type="dcterms:W3CDTF">2017-01-19T08:26:00Z</dcterms:created>
  <dcterms:modified xsi:type="dcterms:W3CDTF">2017-02-02T17:38:00Z</dcterms:modified>
</cp:coreProperties>
</file>